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5258D4" w14:paraId="131B86C3" w14:textId="77777777" w:rsidTr="00F45324">
        <w:trPr>
          <w:trHeight w:val="652"/>
          <w:jc w:val="center"/>
        </w:trPr>
        <w:tc>
          <w:tcPr>
            <w:tcW w:w="3335" w:type="dxa"/>
            <w:tcBorders>
              <w:right w:val="single" w:sz="4" w:space="0" w:color="44546A" w:themeColor="text2"/>
            </w:tcBorders>
            <w:shd w:val="clear" w:color="auto" w:fill="1F3864" w:themeFill="accent1" w:themeFillShade="80"/>
          </w:tcPr>
          <w:p w14:paraId="573FBD9C" w14:textId="77777777" w:rsidR="005258D4" w:rsidRDefault="005258D4" w:rsidP="005258D4">
            <w:pPr>
              <w:jc w:val="center"/>
              <w:rPr>
                <w:rFonts w:cs="Arial"/>
                <w:color w:val="FFFFFF" w:themeColor="background1"/>
                <w:sz w:val="32"/>
                <w:szCs w:val="32"/>
                <w:shd w:val="clear" w:color="auto" w:fill="1F3864" w:themeFill="accent1" w:themeFillShade="80"/>
                <w:lang w:val="en-US"/>
              </w:rPr>
            </w:pPr>
          </w:p>
          <w:p w14:paraId="29A3490A" w14:textId="577FE5F5" w:rsidR="005258D4" w:rsidRPr="00906B87" w:rsidRDefault="005258D4" w:rsidP="005258D4">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3375B2">
              <w:rPr>
                <w:rFonts w:cs="Arial"/>
                <w:color w:val="FFFFFF" w:themeColor="background1"/>
                <w:sz w:val="32"/>
                <w:szCs w:val="32"/>
                <w:shd w:val="clear" w:color="auto" w:fill="1F3864" w:themeFill="accent1" w:themeFillShade="80"/>
                <w:lang w:val="en-US"/>
              </w:rPr>
              <w:t>contribution</w:t>
            </w:r>
          </w:p>
          <w:p w14:paraId="53B8847D" w14:textId="0D6A50C5"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20809B93" w14:textId="77777777" w:rsidR="005258D4" w:rsidRDefault="005258D4" w:rsidP="005258D4">
            <w:pPr>
              <w:jc w:val="center"/>
              <w:rPr>
                <w:rFonts w:cs="Arial"/>
                <w:color w:val="FFFFFF" w:themeColor="background1"/>
                <w:sz w:val="32"/>
                <w:szCs w:val="32"/>
                <w:shd w:val="clear" w:color="auto" w:fill="1F3864" w:themeFill="accent1" w:themeFillShade="80"/>
                <w:lang w:val="en-US"/>
              </w:rPr>
            </w:pPr>
          </w:p>
          <w:p w14:paraId="6B26AC0C" w14:textId="0031ABB9" w:rsidR="00742FA8" w:rsidRDefault="005258D4" w:rsidP="005258D4">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C740D1">
              <w:rPr>
                <w:rFonts w:cs="Arial"/>
                <w:color w:val="FFFFFF" w:themeColor="background1"/>
                <w:sz w:val="32"/>
                <w:szCs w:val="32"/>
                <w:shd w:val="clear" w:color="auto" w:fill="1F3864" w:themeFill="accent1" w:themeFillShade="80"/>
                <w:lang w:val="en-US"/>
              </w:rPr>
              <w:t>4</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FE1418" w14:paraId="425D15D4" w14:textId="77777777" w:rsidTr="00F45324">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5258D4" w:rsidRDefault="005728A3" w:rsidP="005728A3">
            <w:pPr>
              <w:jc w:val="right"/>
              <w:rPr>
                <w:rFonts w:cstheme="minorHAnsi"/>
                <w:b/>
                <w:bCs/>
                <w:color w:val="002060"/>
                <w:sz w:val="28"/>
                <w:szCs w:val="28"/>
                <w:lang w:val="en-US"/>
              </w:rPr>
            </w:pPr>
            <w:r w:rsidRPr="005258D4">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F45324">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743D5758" w:rsidR="006D3771" w:rsidRPr="006D3771" w:rsidRDefault="00AF5605" w:rsidP="006D3771">
            <w:pPr>
              <w:jc w:val="center"/>
              <w:rPr>
                <w:sz w:val="32"/>
                <w:szCs w:val="32"/>
                <w:lang w:val="en-US"/>
              </w:rPr>
            </w:pPr>
            <w:r>
              <w:rPr>
                <w:sz w:val="32"/>
                <w:szCs w:val="32"/>
                <w:lang w:val="en-US"/>
              </w:rPr>
              <w:t>Malta</w:t>
            </w:r>
          </w:p>
          <w:p w14:paraId="1EE0812F" w14:textId="73DF6167" w:rsidR="006D3771" w:rsidRDefault="006D3771">
            <w:pPr>
              <w:rPr>
                <w:lang w:val="en-US"/>
              </w:rPr>
            </w:pPr>
          </w:p>
        </w:tc>
      </w:tr>
    </w:tbl>
    <w:p w14:paraId="5BC2DC82" w14:textId="0E9146AE"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765142C5" w14:textId="77777777" w:rsidR="00080110" w:rsidRPr="00080110" w:rsidRDefault="00080110" w:rsidP="00080110">
      <w:pPr>
        <w:rPr>
          <w:lang w:val="en-US"/>
        </w:rPr>
      </w:pPr>
    </w:p>
    <w:p w14:paraId="4413DDE2" w14:textId="77777777" w:rsidR="008917FC" w:rsidRPr="008917FC" w:rsidRDefault="008917FC" w:rsidP="008917FC">
      <w:pPr>
        <w:pStyle w:val="Default"/>
        <w:jc w:val="both"/>
        <w:rPr>
          <w:rFonts w:asciiTheme="minorHAnsi" w:hAnsiTheme="minorHAnsi" w:cstheme="minorHAnsi"/>
          <w:color w:val="auto"/>
          <w:sz w:val="20"/>
          <w:szCs w:val="20"/>
          <w:lang w:val="en-US"/>
        </w:rPr>
      </w:pPr>
      <w:r w:rsidRPr="008917FC">
        <w:rPr>
          <w:rFonts w:asciiTheme="minorHAnsi" w:hAnsiTheme="minorHAnsi" w:cstheme="minorHAnsi"/>
          <w:color w:val="auto"/>
          <w:sz w:val="20"/>
          <w:szCs w:val="20"/>
          <w:lang w:val="en-US"/>
        </w:rPr>
        <w:t xml:space="preserve">The European Commission for the Efficiency of Justice (CEPEJ) regularly collects data on judicial systems. These data concern </w:t>
      </w:r>
      <w:proofErr w:type="gramStart"/>
      <w:r w:rsidRPr="008917FC">
        <w:rPr>
          <w:rFonts w:asciiTheme="minorHAnsi" w:hAnsiTheme="minorHAnsi" w:cstheme="minorHAnsi"/>
          <w:color w:val="auto"/>
          <w:sz w:val="20"/>
          <w:szCs w:val="20"/>
          <w:lang w:val="en-US"/>
        </w:rPr>
        <w:t>in particular the</w:t>
      </w:r>
      <w:proofErr w:type="gramEnd"/>
      <w:r w:rsidRPr="008917FC">
        <w:rPr>
          <w:rFonts w:asciiTheme="minorHAnsi" w:hAnsiTheme="minorHAnsi" w:cstheme="minorHAnsi"/>
          <w:color w:val="auto"/>
          <w:sz w:val="20"/>
          <w:szCs w:val="20"/>
          <w:lang w:val="en-US"/>
        </w:rPr>
        <w:t xml:space="preserve"> “quality of justice” (B part below), “efficiency of justice systems” (C part below) and also some aspects of “independence” (A part below). </w:t>
      </w:r>
    </w:p>
    <w:p w14:paraId="4933F879" w14:textId="77777777" w:rsidR="008917FC" w:rsidRPr="008917FC" w:rsidRDefault="008917FC" w:rsidP="008917FC">
      <w:pPr>
        <w:shd w:val="clear" w:color="auto" w:fill="FFFFFF"/>
        <w:spacing w:before="100" w:beforeAutospacing="1" w:after="100" w:afterAutospacing="1"/>
        <w:rPr>
          <w:rFonts w:cstheme="minorHAnsi"/>
          <w:color w:val="161616"/>
          <w:lang w:val="en-US"/>
        </w:rPr>
      </w:pPr>
      <w:r w:rsidRPr="008917FC">
        <w:rPr>
          <w:rFonts w:cstheme="minorHAnsi"/>
          <w:lang w:val="en-US"/>
        </w:rPr>
        <w:t>The 2023 data have not been collected and quality checked in 2023. Nevertheless, CEPEJ published in 2023 country profiles for each EU country, based on 2021 data, and prepared in the framework of CEPEJ Study for the 2023 EU Justice Scoreboard</w:t>
      </w:r>
      <w:r w:rsidRPr="008917FC">
        <w:rPr>
          <w:rFonts w:cstheme="minorHAnsi"/>
          <w:color w:val="161616"/>
          <w:lang w:val="en-US"/>
        </w:rPr>
        <w:t xml:space="preserve"> </w:t>
      </w:r>
      <w:hyperlink r:id="rId9" w:history="1">
        <w:r w:rsidRPr="008917FC">
          <w:rPr>
            <w:rStyle w:val="Hyperlink"/>
            <w:rFonts w:cstheme="minorHAnsi"/>
            <w:color w:val="007BC8"/>
            <w:lang w:val="en-US"/>
          </w:rPr>
          <w:t>CEPEJ Country fiche - Scoreboard - Malta</w:t>
        </w:r>
      </w:hyperlink>
    </w:p>
    <w:p w14:paraId="69D01DD6" w14:textId="77777777" w:rsidR="008917FC" w:rsidRPr="008917FC" w:rsidRDefault="008917FC" w:rsidP="008917FC">
      <w:pPr>
        <w:pStyle w:val="Default"/>
        <w:jc w:val="both"/>
        <w:rPr>
          <w:rFonts w:asciiTheme="minorHAnsi" w:hAnsiTheme="minorHAnsi" w:cstheme="minorHAnsi"/>
          <w:color w:val="auto"/>
          <w:sz w:val="20"/>
          <w:szCs w:val="20"/>
          <w:lang w:val="en-US"/>
        </w:rPr>
      </w:pPr>
      <w:r w:rsidRPr="008917FC">
        <w:rPr>
          <w:rFonts w:asciiTheme="minorHAnsi" w:hAnsiTheme="minorHAnsi" w:cstheme="minorHAnsi"/>
          <w:color w:val="auto"/>
          <w:sz w:val="20"/>
          <w:szCs w:val="20"/>
          <w:lang w:val="en-US"/>
        </w:rPr>
        <w:t>The 2022 data have been collected, quality checked and sent to DG-JUST in the framework of the 2024 EU Justice Scoreboard. The publication of the country profiles based on 2022 data will depend on final acceptation of the CEPEJ Study by DG-JUST. The CEPEJ Secretariat (</w:t>
      </w:r>
      <w:hyperlink r:id="rId10" w:history="1">
        <w:r w:rsidRPr="008917FC">
          <w:rPr>
            <w:rStyle w:val="Hyperlink"/>
            <w:rFonts w:asciiTheme="minorHAnsi" w:hAnsiTheme="minorHAnsi" w:cstheme="minorHAnsi"/>
            <w:sz w:val="20"/>
            <w:szCs w:val="20"/>
            <w:lang w:val="en-US"/>
          </w:rPr>
          <w:t>christel.schurrer@coe.int</w:t>
        </w:r>
      </w:hyperlink>
      <w:r w:rsidRPr="008917FC">
        <w:rPr>
          <w:rFonts w:asciiTheme="minorHAnsi" w:hAnsiTheme="minorHAnsi" w:cstheme="minorHAnsi"/>
          <w:color w:val="auto"/>
          <w:sz w:val="20"/>
          <w:szCs w:val="20"/>
          <w:lang w:val="en-US"/>
        </w:rPr>
        <w:t xml:space="preserve">)  remains at the disposal of European Commission for any question related to these data. </w:t>
      </w:r>
    </w:p>
    <w:p w14:paraId="7451BADB" w14:textId="77777777" w:rsidR="00F3731D" w:rsidRPr="009C0F83" w:rsidRDefault="00F3731D" w:rsidP="003375B2">
      <w:pPr>
        <w:rPr>
          <w:lang w:val="en-GB"/>
        </w:rPr>
      </w:pPr>
    </w:p>
    <w:p w14:paraId="47650A3E" w14:textId="77777777" w:rsidR="00F3731D" w:rsidRDefault="00F3731D" w:rsidP="003375B2">
      <w:pPr>
        <w:rPr>
          <w:lang w:val="en-US"/>
        </w:rPr>
      </w:pPr>
    </w:p>
    <w:p w14:paraId="4B9E7A9A" w14:textId="676D2BFB" w:rsidR="003375B2" w:rsidRDefault="003375B2" w:rsidP="003375B2">
      <w:pPr>
        <w:rPr>
          <w:lang w:val="en-US"/>
        </w:rPr>
      </w:pPr>
      <w:r>
        <w:rPr>
          <w:lang w:val="en-US"/>
        </w:rPr>
        <w:t xml:space="preserve">Execution of judgments in </w:t>
      </w:r>
      <w:hyperlink r:id="rId11" w:history="1">
        <w:r w:rsidRPr="003375B2">
          <w:rPr>
            <w:rStyle w:val="Hyperlink"/>
            <w:lang w:val="en-US"/>
          </w:rPr>
          <w:t>Malta</w:t>
        </w:r>
      </w:hyperlink>
      <w:r>
        <w:rPr>
          <w:lang w:val="en-US"/>
        </w:rPr>
        <w:t xml:space="preserve"> </w:t>
      </w:r>
    </w:p>
    <w:p w14:paraId="623D28FA" w14:textId="2BF09D05" w:rsidR="00087548" w:rsidRDefault="00087548" w:rsidP="003375B2">
      <w:pPr>
        <w:rPr>
          <w:lang w:val="en-US"/>
        </w:rPr>
      </w:pPr>
    </w:p>
    <w:p w14:paraId="3739DFE4" w14:textId="77777777" w:rsidR="00087548" w:rsidRPr="00087548" w:rsidRDefault="00087548" w:rsidP="00087548">
      <w:pPr>
        <w:rPr>
          <w:rFonts w:cstheme="minorHAnsi"/>
          <w:lang w:val="en-GB"/>
        </w:rPr>
      </w:pPr>
      <w:r w:rsidRPr="00087548">
        <w:rPr>
          <w:rFonts w:cstheme="minorHAnsi"/>
          <w:i/>
          <w:iCs/>
          <w:lang w:val="en-GB"/>
        </w:rPr>
        <w:t xml:space="preserve">-Length of proceedings </w:t>
      </w:r>
    </w:p>
    <w:p w14:paraId="424EF5E9" w14:textId="77777777" w:rsidR="00087548" w:rsidRPr="00087548" w:rsidRDefault="00087548" w:rsidP="00087548">
      <w:pPr>
        <w:jc w:val="both"/>
        <w:rPr>
          <w:rFonts w:cstheme="minorHAnsi"/>
          <w:color w:val="000000"/>
          <w:shd w:val="clear" w:color="auto" w:fill="FFFFFF"/>
          <w:lang w:val="en-GB"/>
        </w:rPr>
      </w:pPr>
      <w:r w:rsidRPr="00087548">
        <w:rPr>
          <w:rFonts w:cstheme="minorHAnsi"/>
          <w:u w:val="single"/>
          <w:lang w:val="en-GB"/>
        </w:rPr>
        <w:t>Galea and Pavia</w:t>
      </w:r>
      <w:r w:rsidRPr="00087548">
        <w:rPr>
          <w:rFonts w:eastAsia="Calibri" w:cstheme="minorHAnsi"/>
          <w:u w:val="single"/>
          <w:lang w:val="en-GB"/>
        </w:rPr>
        <w:t xml:space="preserve"> (ENHA):</w:t>
      </w:r>
      <w:r w:rsidRPr="00087548">
        <w:rPr>
          <w:rFonts w:cstheme="minorHAnsi"/>
          <w:shd w:val="clear" w:color="auto" w:fill="FFFFFF"/>
          <w:lang w:val="en-GB"/>
        </w:rPr>
        <w:t xml:space="preserve"> </w:t>
      </w:r>
      <w:r w:rsidRPr="00087548">
        <w:rPr>
          <w:rFonts w:cstheme="minorHAnsi"/>
          <w:color w:val="000000"/>
          <w:shd w:val="clear" w:color="auto" w:fill="FFFFFF"/>
          <w:lang w:val="en-GB"/>
        </w:rPr>
        <w:t>This case concerns both the excessive length of criminal proceedings (between 1983 and 1999) and of constitutional redress proceedings (between 1999 and 2016) and lack of effective remedies in this respect (violation of Articles 6 and 13).</w:t>
      </w:r>
    </w:p>
    <w:p w14:paraId="6A3CBB71" w14:textId="77777777" w:rsidR="00087548" w:rsidRPr="00087548" w:rsidRDefault="00087548" w:rsidP="00087548">
      <w:pPr>
        <w:jc w:val="both"/>
        <w:rPr>
          <w:rFonts w:cstheme="minorHAnsi"/>
          <w:color w:val="000000"/>
          <w:shd w:val="clear" w:color="auto" w:fill="FFFFFF"/>
          <w:lang w:val="en-GB"/>
        </w:rPr>
      </w:pPr>
      <w:r w:rsidRPr="00087548">
        <w:rPr>
          <w:rFonts w:cstheme="minorHAnsi"/>
          <w:color w:val="000000"/>
          <w:shd w:val="clear" w:color="auto" w:fill="FFFFFF"/>
          <w:lang w:val="en-GB"/>
        </w:rPr>
        <w:t xml:space="preserve">Presentation on Hudoc.exec: </w:t>
      </w:r>
      <w:hyperlink r:id="rId12" w:history="1">
        <w:r w:rsidRPr="00087548">
          <w:rPr>
            <w:rFonts w:cstheme="minorHAnsi"/>
            <w:color w:val="0000FF"/>
            <w:u w:val="single"/>
            <w:shd w:val="clear" w:color="auto" w:fill="FFFFFF"/>
            <w:lang w:val="en-GB"/>
          </w:rPr>
          <w:t xml:space="preserve">Galea and Pavia </w:t>
        </w:r>
      </w:hyperlink>
    </w:p>
    <w:p w14:paraId="36EFC90D" w14:textId="77777777" w:rsidR="00087548" w:rsidRPr="00087548" w:rsidRDefault="00000000" w:rsidP="00087548">
      <w:pPr>
        <w:spacing w:line="259" w:lineRule="auto"/>
        <w:jc w:val="both"/>
        <w:rPr>
          <w:rFonts w:cstheme="minorHAnsi"/>
          <w:lang w:val="en-US"/>
        </w:rPr>
      </w:pPr>
      <w:hyperlink r:id="rId13" w:anchor="{%22fulltext%22:[%22McFarlane%22],%22display%22:[2],%22EXECIdentifier%22:[%22CM/Del/Dec(2020)1383/H46-10E%22]}" w:history="1">
        <w:r w:rsidR="00087548" w:rsidRPr="00087548">
          <w:rPr>
            <w:rFonts w:cstheme="minorHAnsi"/>
            <w:lang w:val="en-GB"/>
          </w:rPr>
          <w:t>Latest decisions</w:t>
        </w:r>
      </w:hyperlink>
      <w:r w:rsidR="00087548" w:rsidRPr="00087548">
        <w:rPr>
          <w:rFonts w:cstheme="minorHAnsi"/>
          <w:lang w:val="en-GB"/>
        </w:rPr>
        <w:t xml:space="preserve">: </w:t>
      </w:r>
      <w:hyperlink r:id="rId14" w:history="1">
        <w:r w:rsidR="00087548" w:rsidRPr="00087548">
          <w:rPr>
            <w:rStyle w:val="Hyperlink"/>
            <w:rFonts w:cstheme="minorHAnsi"/>
            <w:shd w:val="clear" w:color="auto" w:fill="FFFFFF"/>
            <w:lang w:val="en-US"/>
          </w:rPr>
          <w:t>CM/Del/</w:t>
        </w:r>
        <w:proofErr w:type="gramStart"/>
        <w:r w:rsidR="00087548" w:rsidRPr="00087548">
          <w:rPr>
            <w:rStyle w:val="Hyperlink"/>
            <w:rFonts w:cstheme="minorHAnsi"/>
            <w:shd w:val="clear" w:color="auto" w:fill="FFFFFF"/>
            <w:lang w:val="en-US"/>
          </w:rPr>
          <w:t>Dec(</w:t>
        </w:r>
        <w:proofErr w:type="gramEnd"/>
        <w:r w:rsidR="00087548" w:rsidRPr="00087548">
          <w:rPr>
            <w:rStyle w:val="Hyperlink"/>
            <w:rFonts w:cstheme="minorHAnsi"/>
            <w:shd w:val="clear" w:color="auto" w:fill="FFFFFF"/>
            <w:lang w:val="en-US"/>
          </w:rPr>
          <w:t>2022)1428/H46-20</w:t>
        </w:r>
      </w:hyperlink>
    </w:p>
    <w:p w14:paraId="2800B9E3" w14:textId="77777777" w:rsidR="00087548" w:rsidRPr="00087548" w:rsidRDefault="00087548" w:rsidP="00087548">
      <w:pPr>
        <w:jc w:val="both"/>
        <w:rPr>
          <w:rFonts w:cstheme="minorHAnsi"/>
          <w:color w:val="000000"/>
          <w:shd w:val="clear" w:color="auto" w:fill="FFFFFF"/>
          <w:lang w:val="en-GB"/>
        </w:rPr>
      </w:pPr>
      <w:r w:rsidRPr="00087548">
        <w:rPr>
          <w:rFonts w:cstheme="minorHAnsi"/>
          <w:color w:val="000000"/>
          <w:shd w:val="clear" w:color="auto" w:fill="FFFFFF"/>
          <w:lang w:val="en-GB"/>
        </w:rPr>
        <w:t xml:space="preserve">Latest information: </w:t>
      </w:r>
      <w:hyperlink r:id="rId15" w:history="1">
        <w:r w:rsidRPr="00087548">
          <w:rPr>
            <w:rStyle w:val="Hyperlink"/>
            <w:rFonts w:cstheme="minorHAnsi"/>
            <w:lang w:val="en-GB"/>
          </w:rPr>
          <w:t>DH-</w:t>
        </w:r>
        <w:proofErr w:type="gramStart"/>
        <w:r w:rsidRPr="00087548">
          <w:rPr>
            <w:rStyle w:val="Hyperlink"/>
            <w:rFonts w:cstheme="minorHAnsi"/>
            <w:lang w:val="en-GB"/>
          </w:rPr>
          <w:t>DD(</w:t>
        </w:r>
        <w:proofErr w:type="gramEnd"/>
        <w:r w:rsidRPr="00087548">
          <w:rPr>
            <w:rStyle w:val="Hyperlink"/>
            <w:rFonts w:cstheme="minorHAnsi"/>
            <w:lang w:val="en-GB"/>
          </w:rPr>
          <w:t>2023)798E</w:t>
        </w:r>
      </w:hyperlink>
    </w:p>
    <w:p w14:paraId="0B431E84" w14:textId="77777777" w:rsidR="00087548" w:rsidRDefault="00087548" w:rsidP="003375B2">
      <w:pPr>
        <w:rPr>
          <w:lang w:val="en-US"/>
        </w:rPr>
      </w:pPr>
    </w:p>
    <w:p w14:paraId="5C79AE80" w14:textId="12E46548" w:rsidR="004A628B" w:rsidRDefault="004A628B" w:rsidP="004A628B">
      <w:pPr>
        <w:pStyle w:val="Heading1"/>
        <w:rPr>
          <w:lang w:val="en-US"/>
        </w:rPr>
      </w:pPr>
      <w:bookmarkStart w:id="1" w:name="_Toc36635832"/>
      <w:r>
        <w:rPr>
          <w:lang w:val="en-US"/>
        </w:rPr>
        <w:t xml:space="preserve">II </w:t>
      </w:r>
      <w:r w:rsidRPr="00546B57">
        <w:rPr>
          <w:lang w:val="en-US"/>
        </w:rPr>
        <w:t>Anti-corruption framework</w:t>
      </w:r>
      <w:bookmarkEnd w:id="1"/>
      <w:r w:rsidRPr="00546B57">
        <w:rPr>
          <w:lang w:val="en-US"/>
        </w:rPr>
        <w:t xml:space="preserve"> </w:t>
      </w:r>
    </w:p>
    <w:p w14:paraId="7AE2AFA7" w14:textId="77777777" w:rsidR="00FE1418" w:rsidRPr="00FE1418" w:rsidRDefault="00FE1418" w:rsidP="00FE1418">
      <w:pPr>
        <w:rPr>
          <w:lang w:val="en-US"/>
        </w:rPr>
      </w:pPr>
    </w:p>
    <w:p w14:paraId="3F450155" w14:textId="77777777" w:rsidR="00DD7D4B" w:rsidRDefault="00DD7D4B" w:rsidP="00DD7D4B">
      <w:pPr>
        <w:rPr>
          <w:lang w:val="en-US"/>
        </w:rPr>
      </w:pPr>
      <w:r>
        <w:rPr>
          <w:lang w:val="en-US"/>
        </w:rPr>
        <w:t>GRECO (6 June 2023)</w:t>
      </w:r>
    </w:p>
    <w:p w14:paraId="5550F4EA" w14:textId="77777777" w:rsidR="00DD7D4B" w:rsidRDefault="00000000" w:rsidP="00DD7D4B">
      <w:pPr>
        <w:rPr>
          <w:rStyle w:val="Hyperlink"/>
          <w:rFonts w:ascii="Calibri" w:eastAsia="Times New Roman" w:hAnsi="Calibri" w:cs="Calibri"/>
          <w:lang w:val="en-US" w:eastAsia="fr-FR"/>
        </w:rPr>
      </w:pPr>
      <w:hyperlink r:id="rId16" w:history="1">
        <w:r w:rsidR="00DD7D4B" w:rsidRPr="00F3731D">
          <w:rPr>
            <w:rStyle w:val="Hyperlink"/>
            <w:rFonts w:ascii="Calibri" w:eastAsia="Times New Roman" w:hAnsi="Calibri" w:cs="Calibri"/>
            <w:lang w:val="en-US" w:eastAsia="fr-FR"/>
          </w:rPr>
          <w:t>Second Addendum to the Second Compliance Report</w:t>
        </w:r>
      </w:hyperlink>
    </w:p>
    <w:p w14:paraId="1DD0A973" w14:textId="77777777" w:rsidR="00DD7D4B" w:rsidRPr="005A6801" w:rsidRDefault="00DD7D4B" w:rsidP="00DD7D4B">
      <w:pPr>
        <w:rPr>
          <w:rFonts w:cstheme="minorHAnsi"/>
          <w:lang w:val="en-GB"/>
        </w:rPr>
      </w:pPr>
      <w:r w:rsidRPr="005A6801">
        <w:rPr>
          <w:rFonts w:cstheme="minorHAnsi"/>
          <w:lang w:val="en-GB"/>
        </w:rPr>
        <w:t>4</w:t>
      </w:r>
      <w:r w:rsidRPr="005A6801">
        <w:rPr>
          <w:rFonts w:cstheme="minorHAnsi"/>
          <w:vertAlign w:val="superscript"/>
          <w:lang w:val="en-GB"/>
        </w:rPr>
        <w:t>th</w:t>
      </w:r>
      <w:r w:rsidRPr="005A6801">
        <w:rPr>
          <w:rFonts w:cstheme="minorHAnsi"/>
          <w:lang w:val="en-GB"/>
        </w:rPr>
        <w:t xml:space="preserve"> round: corruption prevention in respect of MPs, </w:t>
      </w:r>
      <w:proofErr w:type="gramStart"/>
      <w:r w:rsidRPr="005A6801">
        <w:rPr>
          <w:rFonts w:cstheme="minorHAnsi"/>
          <w:lang w:val="en-GB"/>
        </w:rPr>
        <w:t>judges</w:t>
      </w:r>
      <w:proofErr w:type="gramEnd"/>
      <w:r w:rsidRPr="005A6801">
        <w:rPr>
          <w:rFonts w:cstheme="minorHAnsi"/>
          <w:lang w:val="en-GB"/>
        </w:rPr>
        <w:t xml:space="preserve"> and prosecutors</w:t>
      </w:r>
    </w:p>
    <w:p w14:paraId="5F0E3646" w14:textId="77777777" w:rsidR="00DD7D4B" w:rsidRPr="00DD7D4B" w:rsidRDefault="00DD7D4B" w:rsidP="00DD7D4B">
      <w:pPr>
        <w:rPr>
          <w:lang w:val="en-GB"/>
        </w:rPr>
      </w:pPr>
    </w:p>
    <w:p w14:paraId="4328586A" w14:textId="77777777" w:rsidR="004A628B" w:rsidRPr="00546B57" w:rsidRDefault="004A628B" w:rsidP="004A628B">
      <w:pPr>
        <w:pStyle w:val="Default"/>
        <w:ind w:left="1080"/>
        <w:rPr>
          <w:color w:val="auto"/>
          <w:sz w:val="22"/>
          <w:szCs w:val="22"/>
          <w:lang w:val="en-US"/>
        </w:rPr>
      </w:pPr>
    </w:p>
    <w:p w14:paraId="3F060345" w14:textId="3747D993" w:rsidR="004A628B" w:rsidRDefault="001D0AE0" w:rsidP="004A628B">
      <w:pPr>
        <w:pStyle w:val="Heading1"/>
        <w:rPr>
          <w:lang w:val="en-US"/>
        </w:rPr>
      </w:pPr>
      <w:bookmarkStart w:id="2" w:name="_Toc36635845"/>
      <w:r>
        <w:rPr>
          <w:lang w:val="en-US"/>
        </w:rPr>
        <w:lastRenderedPageBreak/>
        <w:t xml:space="preserve">III </w:t>
      </w:r>
      <w:r w:rsidR="004A628B" w:rsidRPr="00546B57">
        <w:rPr>
          <w:lang w:val="en-US"/>
        </w:rPr>
        <w:t>Media pluralism</w:t>
      </w:r>
      <w:bookmarkEnd w:id="2"/>
      <w:r w:rsidR="004A628B" w:rsidRPr="00546B57">
        <w:rPr>
          <w:lang w:val="en-US"/>
        </w:rPr>
        <w:t xml:space="preserve"> </w:t>
      </w:r>
    </w:p>
    <w:p w14:paraId="1D012131" w14:textId="47B3BA4F" w:rsidR="002B5E04" w:rsidRDefault="002B5E04" w:rsidP="002B5E04">
      <w:pPr>
        <w:rPr>
          <w:lang w:val="en-US"/>
        </w:rPr>
      </w:pPr>
    </w:p>
    <w:p w14:paraId="46C29993" w14:textId="287D4A29" w:rsidR="00981260" w:rsidRPr="008B08BA" w:rsidRDefault="00981260" w:rsidP="00981260">
      <w:pPr>
        <w:rPr>
          <w:lang w:val="en-US"/>
        </w:rPr>
      </w:pPr>
      <w:r w:rsidRPr="008B08BA">
        <w:rPr>
          <w:lang w:val="en-GB"/>
        </w:rPr>
        <w:t>Commissioner for Human Rights</w:t>
      </w:r>
    </w:p>
    <w:p w14:paraId="7456FC97" w14:textId="01DB611B" w:rsidR="00992A49" w:rsidRDefault="00992A49" w:rsidP="00992A49">
      <w:pPr>
        <w:rPr>
          <w:lang w:val="en-US"/>
        </w:rPr>
      </w:pPr>
    </w:p>
    <w:p w14:paraId="1D39E5BD" w14:textId="6579850A" w:rsidR="00C760A7" w:rsidRDefault="00000000" w:rsidP="00FE1418">
      <w:pPr>
        <w:jc w:val="both"/>
        <w:rPr>
          <w:lang w:val="en-US"/>
        </w:rPr>
      </w:pPr>
      <w:hyperlink r:id="rId17" w:history="1">
        <w:r w:rsidR="00C760A7" w:rsidRPr="00DA0596">
          <w:rPr>
            <w:rStyle w:val="Hyperlink"/>
            <w:rFonts w:cs="Calibri"/>
            <w:lang w:val="en-GB"/>
          </w:rPr>
          <w:t>Letters</w:t>
        </w:r>
      </w:hyperlink>
      <w:r w:rsidR="00C760A7">
        <w:rPr>
          <w:lang w:val="en-GB"/>
        </w:rPr>
        <w:t xml:space="preserve"> by the Council of Europe Commissioner for Human Rights</w:t>
      </w:r>
      <w:r w:rsidR="00C760A7" w:rsidRPr="00F1502B">
        <w:rPr>
          <w:lang w:val="en-GB"/>
        </w:rPr>
        <w:t xml:space="preserve"> to the Prime Minister and the Speaker of the Parliament of Malta</w:t>
      </w:r>
      <w:r w:rsidR="00C760A7">
        <w:rPr>
          <w:lang w:val="en-GB"/>
        </w:rPr>
        <w:t>, published on 3 October 2023.</w:t>
      </w:r>
      <w:r w:rsidR="00C760A7" w:rsidRPr="0023665E">
        <w:rPr>
          <w:rFonts w:eastAsia="Times New Roman" w:cstheme="minorHAnsi"/>
          <w:lang w:val="en-GB"/>
        </w:rPr>
        <w:t xml:space="preserve"> </w:t>
      </w:r>
      <w:r w:rsidR="00C760A7" w:rsidRPr="00D2416C">
        <w:rPr>
          <w:lang w:val="en-GB"/>
        </w:rPr>
        <w:t>In her letter to the Prime Minister, the Commissioner expressed concerns about the insufficient progress in bringing to justice all those involved in the murder of Daphne Caruana Galizia, the shortcomings of proposed legislative changes, the repeated cases of denial of access to information and the hostile climate against journalists and media workers. In her letter to the Speaker of the Parliament, the Commissioner advised against adopting certain legislative proposals that could impinge on freedom of expression, privacy rights and the protection of journalists, underlined the inadequacy of measures against Strategic Lawsuits Against Public Participation and recommended inclusive and transparent public consultations to ensure compliance with international standards</w:t>
      </w:r>
      <w:r w:rsidR="00FE1418">
        <w:rPr>
          <w:lang w:val="en-GB"/>
        </w:rPr>
        <w:t>.</w:t>
      </w:r>
    </w:p>
    <w:p w14:paraId="1BCA86BC" w14:textId="77777777" w:rsidR="00C760A7" w:rsidRDefault="00C760A7" w:rsidP="00992A49">
      <w:pPr>
        <w:rPr>
          <w:lang w:val="en-US"/>
        </w:rPr>
      </w:pPr>
    </w:p>
    <w:p w14:paraId="3DBB1D0A" w14:textId="77777777" w:rsidR="00C760A7" w:rsidRDefault="00C760A7" w:rsidP="00992A49">
      <w:pPr>
        <w:rPr>
          <w:lang w:val="en-US"/>
        </w:rPr>
      </w:pPr>
    </w:p>
    <w:p w14:paraId="6D02DC2B" w14:textId="0892470B" w:rsidR="003375B2" w:rsidRDefault="004A628B" w:rsidP="00D72170">
      <w:pPr>
        <w:pStyle w:val="Heading1"/>
        <w:rPr>
          <w:lang w:val="en-US"/>
        </w:rPr>
      </w:pPr>
      <w:bookmarkStart w:id="3" w:name="_Toc36635858"/>
      <w:r>
        <w:rPr>
          <w:lang w:val="en-US"/>
        </w:rPr>
        <w:t>I</w:t>
      </w:r>
      <w:r w:rsidR="001D0AE0">
        <w:rPr>
          <w:lang w:val="en-US"/>
        </w:rPr>
        <w:t>V</w:t>
      </w:r>
      <w:r>
        <w:rPr>
          <w:lang w:val="en-US"/>
        </w:rPr>
        <w:t xml:space="preserve"> </w:t>
      </w:r>
      <w:r w:rsidRPr="00546B57">
        <w:rPr>
          <w:lang w:val="en-US"/>
        </w:rPr>
        <w:t xml:space="preserve">Other institutional issues related to checks and </w:t>
      </w:r>
      <w:proofErr w:type="gramStart"/>
      <w:r w:rsidRPr="00546B57">
        <w:rPr>
          <w:lang w:val="en-US"/>
        </w:rPr>
        <w:t>balances</w:t>
      </w:r>
      <w:bookmarkEnd w:id="3"/>
      <w:proofErr w:type="gramEnd"/>
      <w:r w:rsidRPr="00546B57">
        <w:rPr>
          <w:lang w:val="en-US"/>
        </w:rPr>
        <w:t xml:space="preserve"> </w:t>
      </w:r>
    </w:p>
    <w:p w14:paraId="3FE141AD" w14:textId="77777777" w:rsidR="00C2519F" w:rsidRDefault="00C2519F" w:rsidP="003375B2">
      <w:pPr>
        <w:rPr>
          <w:lang w:val="en-US"/>
        </w:rPr>
      </w:pPr>
    </w:p>
    <w:p w14:paraId="2A9945D1" w14:textId="479BD257" w:rsidR="003375B2" w:rsidRPr="003375B2" w:rsidRDefault="003375B2" w:rsidP="003375B2">
      <w:pPr>
        <w:rPr>
          <w:lang w:val="en-US"/>
        </w:rPr>
      </w:pPr>
      <w:r>
        <w:rPr>
          <w:lang w:val="en-US"/>
        </w:rPr>
        <w:t>N/A</w:t>
      </w:r>
    </w:p>
    <w:p w14:paraId="30D2EC4D" w14:textId="5791D5EE" w:rsidR="001A0B36" w:rsidRDefault="001A0B36" w:rsidP="003375B2">
      <w:pPr>
        <w:pStyle w:val="Heading2"/>
        <w:rPr>
          <w:rFonts w:cs="Arial"/>
          <w:color w:val="FFFFFF" w:themeColor="background1"/>
          <w:sz w:val="22"/>
          <w:szCs w:val="22"/>
          <w:shd w:val="clear" w:color="auto" w:fill="1F3864" w:themeFill="accent1" w:themeFillShade="80"/>
          <w:lang w:val="en-GB"/>
        </w:rPr>
      </w:pPr>
    </w:p>
    <w:p w14:paraId="04570A2B" w14:textId="4F5BA61F" w:rsidR="008378BB" w:rsidRPr="001A0B36" w:rsidRDefault="008378BB">
      <w:pPr>
        <w:rPr>
          <w:rFonts w:cs="Arial"/>
          <w:color w:val="FFFFFF" w:themeColor="background1"/>
          <w:sz w:val="22"/>
          <w:szCs w:val="22"/>
          <w:shd w:val="clear" w:color="auto" w:fill="1F3864" w:themeFill="accent1" w:themeFillShade="80"/>
          <w:lang w:val="en-GB"/>
        </w:rPr>
      </w:pPr>
    </w:p>
    <w:sectPr w:rsidR="008378BB" w:rsidRPr="001A0B36" w:rsidSect="007B3B82">
      <w:footerReference w:type="default" r:id="rId18"/>
      <w:footerReference w:type="first" r:id="rId1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FD6AE" w14:textId="77777777" w:rsidR="00F75F32" w:rsidRDefault="00F75F32" w:rsidP="00857FF1">
      <w:r>
        <w:separator/>
      </w:r>
    </w:p>
  </w:endnote>
  <w:endnote w:type="continuationSeparator" w:id="0">
    <w:p w14:paraId="26AEE07B" w14:textId="77777777" w:rsidR="00F75F32" w:rsidRDefault="00F75F32"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ED8B6" w14:textId="77777777" w:rsidR="00F75F32" w:rsidRDefault="00F75F32" w:rsidP="00857FF1">
      <w:r>
        <w:separator/>
      </w:r>
    </w:p>
  </w:footnote>
  <w:footnote w:type="continuationSeparator" w:id="0">
    <w:p w14:paraId="45B1AF5F" w14:textId="77777777" w:rsidR="00F75F32" w:rsidRDefault="00F75F32"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CFC42E5"/>
    <w:multiLevelType w:val="hybridMultilevel"/>
    <w:tmpl w:val="FFF4F5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76F2062"/>
    <w:multiLevelType w:val="hybridMultilevel"/>
    <w:tmpl w:val="6ADAA24C"/>
    <w:lvl w:ilvl="0" w:tplc="D3C6CB44">
      <w:start w:val="18"/>
      <w:numFmt w:val="bullet"/>
      <w:lvlText w:val="-"/>
      <w:lvlJc w:val="left"/>
      <w:pPr>
        <w:ind w:left="1080" w:hanging="360"/>
      </w:pPr>
      <w:rPr>
        <w:rFonts w:ascii="Calibri" w:eastAsia="Times New Roman"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2715983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82767128">
    <w:abstractNumId w:val="3"/>
  </w:num>
  <w:num w:numId="3" w16cid:durableId="1849715922">
    <w:abstractNumId w:val="5"/>
  </w:num>
  <w:num w:numId="4" w16cid:durableId="893198544">
    <w:abstractNumId w:val="8"/>
  </w:num>
  <w:num w:numId="5" w16cid:durableId="1175804562">
    <w:abstractNumId w:val="2"/>
  </w:num>
  <w:num w:numId="6" w16cid:durableId="2015378492">
    <w:abstractNumId w:val="4"/>
  </w:num>
  <w:num w:numId="7" w16cid:durableId="1327785410">
    <w:abstractNumId w:val="6"/>
  </w:num>
  <w:num w:numId="8" w16cid:durableId="1326931686">
    <w:abstractNumId w:val="6"/>
  </w:num>
  <w:num w:numId="9" w16cid:durableId="2021467994">
    <w:abstractNumId w:val="1"/>
  </w:num>
  <w:num w:numId="10" w16cid:durableId="15940484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23C44"/>
    <w:rsid w:val="00023E77"/>
    <w:rsid w:val="00025DA9"/>
    <w:rsid w:val="000461B7"/>
    <w:rsid w:val="000469CE"/>
    <w:rsid w:val="00057AA5"/>
    <w:rsid w:val="00080110"/>
    <w:rsid w:val="00087548"/>
    <w:rsid w:val="000A1376"/>
    <w:rsid w:val="000C0AFA"/>
    <w:rsid w:val="000C115C"/>
    <w:rsid w:val="000D54F7"/>
    <w:rsid w:val="000E51C1"/>
    <w:rsid w:val="000F5E55"/>
    <w:rsid w:val="0011349E"/>
    <w:rsid w:val="001257E8"/>
    <w:rsid w:val="00135CC6"/>
    <w:rsid w:val="00150305"/>
    <w:rsid w:val="00152FC1"/>
    <w:rsid w:val="00167680"/>
    <w:rsid w:val="00172847"/>
    <w:rsid w:val="0018188A"/>
    <w:rsid w:val="00194CC7"/>
    <w:rsid w:val="001A0B36"/>
    <w:rsid w:val="001A6095"/>
    <w:rsid w:val="001C30CB"/>
    <w:rsid w:val="001C5912"/>
    <w:rsid w:val="001C77D8"/>
    <w:rsid w:val="001D0AE0"/>
    <w:rsid w:val="001D2816"/>
    <w:rsid w:val="001E6E60"/>
    <w:rsid w:val="001F554F"/>
    <w:rsid w:val="00202308"/>
    <w:rsid w:val="002027E7"/>
    <w:rsid w:val="0021059A"/>
    <w:rsid w:val="00233201"/>
    <w:rsid w:val="0023373B"/>
    <w:rsid w:val="00252F46"/>
    <w:rsid w:val="00254902"/>
    <w:rsid w:val="00267E73"/>
    <w:rsid w:val="00282225"/>
    <w:rsid w:val="00287B2E"/>
    <w:rsid w:val="002B2FF2"/>
    <w:rsid w:val="002B5E04"/>
    <w:rsid w:val="002B6447"/>
    <w:rsid w:val="002C4D6C"/>
    <w:rsid w:val="002C68B0"/>
    <w:rsid w:val="002D3751"/>
    <w:rsid w:val="002E14DB"/>
    <w:rsid w:val="002F00FA"/>
    <w:rsid w:val="0032648F"/>
    <w:rsid w:val="00326BDF"/>
    <w:rsid w:val="0033751D"/>
    <w:rsid w:val="003375B2"/>
    <w:rsid w:val="00351BFE"/>
    <w:rsid w:val="003572C2"/>
    <w:rsid w:val="00372B8F"/>
    <w:rsid w:val="003C08E1"/>
    <w:rsid w:val="003C5D61"/>
    <w:rsid w:val="003E0690"/>
    <w:rsid w:val="003F0C2C"/>
    <w:rsid w:val="003F4519"/>
    <w:rsid w:val="00414C2D"/>
    <w:rsid w:val="0041563E"/>
    <w:rsid w:val="00434E92"/>
    <w:rsid w:val="004602CD"/>
    <w:rsid w:val="004728F5"/>
    <w:rsid w:val="0048629D"/>
    <w:rsid w:val="00492783"/>
    <w:rsid w:val="00496B58"/>
    <w:rsid w:val="004A628B"/>
    <w:rsid w:val="004A7889"/>
    <w:rsid w:val="004C2EDF"/>
    <w:rsid w:val="004D15E2"/>
    <w:rsid w:val="004F26E7"/>
    <w:rsid w:val="004F786A"/>
    <w:rsid w:val="005067CC"/>
    <w:rsid w:val="00507682"/>
    <w:rsid w:val="005258D4"/>
    <w:rsid w:val="0054613B"/>
    <w:rsid w:val="005675AD"/>
    <w:rsid w:val="0057123C"/>
    <w:rsid w:val="005728A3"/>
    <w:rsid w:val="00595397"/>
    <w:rsid w:val="005A7E94"/>
    <w:rsid w:val="005C62AF"/>
    <w:rsid w:val="005D4AD7"/>
    <w:rsid w:val="005E17CB"/>
    <w:rsid w:val="005E1A73"/>
    <w:rsid w:val="005F193C"/>
    <w:rsid w:val="00622782"/>
    <w:rsid w:val="00633A32"/>
    <w:rsid w:val="00636AF8"/>
    <w:rsid w:val="00647D6B"/>
    <w:rsid w:val="0065310F"/>
    <w:rsid w:val="00680789"/>
    <w:rsid w:val="00681DFE"/>
    <w:rsid w:val="00687BDB"/>
    <w:rsid w:val="006B6601"/>
    <w:rsid w:val="006C4837"/>
    <w:rsid w:val="006D3771"/>
    <w:rsid w:val="006F464F"/>
    <w:rsid w:val="00720679"/>
    <w:rsid w:val="00727A99"/>
    <w:rsid w:val="00734D8B"/>
    <w:rsid w:val="00735FF7"/>
    <w:rsid w:val="00742FA8"/>
    <w:rsid w:val="00746052"/>
    <w:rsid w:val="00771578"/>
    <w:rsid w:val="00784A03"/>
    <w:rsid w:val="007959C1"/>
    <w:rsid w:val="007A73DD"/>
    <w:rsid w:val="007B3B82"/>
    <w:rsid w:val="007D198D"/>
    <w:rsid w:val="007E2AEF"/>
    <w:rsid w:val="00813B51"/>
    <w:rsid w:val="00817809"/>
    <w:rsid w:val="00833496"/>
    <w:rsid w:val="008378BB"/>
    <w:rsid w:val="00840C74"/>
    <w:rsid w:val="00857FF1"/>
    <w:rsid w:val="00870248"/>
    <w:rsid w:val="008768C3"/>
    <w:rsid w:val="00887319"/>
    <w:rsid w:val="008917FC"/>
    <w:rsid w:val="008B08BA"/>
    <w:rsid w:val="008E03BD"/>
    <w:rsid w:val="008F059B"/>
    <w:rsid w:val="00906B87"/>
    <w:rsid w:val="00922461"/>
    <w:rsid w:val="00926EA8"/>
    <w:rsid w:val="0094125F"/>
    <w:rsid w:val="009462D4"/>
    <w:rsid w:val="00981260"/>
    <w:rsid w:val="009841C3"/>
    <w:rsid w:val="00992A49"/>
    <w:rsid w:val="009A3460"/>
    <w:rsid w:val="009A36F2"/>
    <w:rsid w:val="009B1742"/>
    <w:rsid w:val="009C0F83"/>
    <w:rsid w:val="009D5FD8"/>
    <w:rsid w:val="009D68A7"/>
    <w:rsid w:val="009E4C05"/>
    <w:rsid w:val="009F04FE"/>
    <w:rsid w:val="00A21929"/>
    <w:rsid w:val="00A3131A"/>
    <w:rsid w:val="00A52988"/>
    <w:rsid w:val="00A54D19"/>
    <w:rsid w:val="00A70E18"/>
    <w:rsid w:val="00A731B8"/>
    <w:rsid w:val="00A9329D"/>
    <w:rsid w:val="00AA476A"/>
    <w:rsid w:val="00AB5D5D"/>
    <w:rsid w:val="00AB6C11"/>
    <w:rsid w:val="00AC541D"/>
    <w:rsid w:val="00AD3544"/>
    <w:rsid w:val="00AD5BD0"/>
    <w:rsid w:val="00AF5605"/>
    <w:rsid w:val="00B3180F"/>
    <w:rsid w:val="00B331F1"/>
    <w:rsid w:val="00B35012"/>
    <w:rsid w:val="00B36582"/>
    <w:rsid w:val="00B43D35"/>
    <w:rsid w:val="00B807B6"/>
    <w:rsid w:val="00B826D8"/>
    <w:rsid w:val="00BA5807"/>
    <w:rsid w:val="00BB3FA6"/>
    <w:rsid w:val="00BB5320"/>
    <w:rsid w:val="00BD26EA"/>
    <w:rsid w:val="00BF5595"/>
    <w:rsid w:val="00BF65F7"/>
    <w:rsid w:val="00C06E96"/>
    <w:rsid w:val="00C173FF"/>
    <w:rsid w:val="00C2519F"/>
    <w:rsid w:val="00C3732F"/>
    <w:rsid w:val="00C45527"/>
    <w:rsid w:val="00C53DD1"/>
    <w:rsid w:val="00C54C7D"/>
    <w:rsid w:val="00C5748E"/>
    <w:rsid w:val="00C740D1"/>
    <w:rsid w:val="00C75135"/>
    <w:rsid w:val="00C760A7"/>
    <w:rsid w:val="00C86F4B"/>
    <w:rsid w:val="00CC039A"/>
    <w:rsid w:val="00CD11EC"/>
    <w:rsid w:val="00CD531B"/>
    <w:rsid w:val="00CD5AA0"/>
    <w:rsid w:val="00CE4DE7"/>
    <w:rsid w:val="00CF1C6F"/>
    <w:rsid w:val="00CF5FB1"/>
    <w:rsid w:val="00D06CD9"/>
    <w:rsid w:val="00D20872"/>
    <w:rsid w:val="00D222BB"/>
    <w:rsid w:val="00D36A12"/>
    <w:rsid w:val="00D37016"/>
    <w:rsid w:val="00D374BF"/>
    <w:rsid w:val="00D5339D"/>
    <w:rsid w:val="00D72170"/>
    <w:rsid w:val="00D7285C"/>
    <w:rsid w:val="00D96E9B"/>
    <w:rsid w:val="00DC7320"/>
    <w:rsid w:val="00DD7D4B"/>
    <w:rsid w:val="00DE4A78"/>
    <w:rsid w:val="00DF7C08"/>
    <w:rsid w:val="00E147EE"/>
    <w:rsid w:val="00E24582"/>
    <w:rsid w:val="00E3269E"/>
    <w:rsid w:val="00E74304"/>
    <w:rsid w:val="00E7468C"/>
    <w:rsid w:val="00E75C9B"/>
    <w:rsid w:val="00E8599F"/>
    <w:rsid w:val="00E868BE"/>
    <w:rsid w:val="00E95C79"/>
    <w:rsid w:val="00EA6ED0"/>
    <w:rsid w:val="00EC5DEA"/>
    <w:rsid w:val="00ED2EDB"/>
    <w:rsid w:val="00F030BB"/>
    <w:rsid w:val="00F070DD"/>
    <w:rsid w:val="00F3151D"/>
    <w:rsid w:val="00F36C4D"/>
    <w:rsid w:val="00F3731D"/>
    <w:rsid w:val="00F448D1"/>
    <w:rsid w:val="00F45324"/>
    <w:rsid w:val="00F66B44"/>
    <w:rsid w:val="00F71177"/>
    <w:rsid w:val="00F75F32"/>
    <w:rsid w:val="00F7750F"/>
    <w:rsid w:val="00F80550"/>
    <w:rsid w:val="00F8344A"/>
    <w:rsid w:val="00F8359B"/>
    <w:rsid w:val="00F847EB"/>
    <w:rsid w:val="00F90D15"/>
    <w:rsid w:val="00F91B36"/>
    <w:rsid w:val="00F91B59"/>
    <w:rsid w:val="00FA480D"/>
    <w:rsid w:val="00FB41BF"/>
    <w:rsid w:val="00FC6F45"/>
    <w:rsid w:val="00FD54D5"/>
    <w:rsid w:val="00FD5B4A"/>
    <w:rsid w:val="00FE14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E9B"/>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622782"/>
  </w:style>
  <w:style w:type="character" w:customStyle="1" w:styleId="gray">
    <w:name w:val="gray"/>
    <w:basedOn w:val="DefaultParagraphFont"/>
    <w:rsid w:val="00622782"/>
  </w:style>
  <w:style w:type="paragraph" w:customStyle="1" w:styleId="COEHI">
    <w:name w:val="COE_HI"/>
    <w:basedOn w:val="Normal"/>
    <w:qFormat/>
    <w:rsid w:val="00023E77"/>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F7750F"/>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F7750F"/>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F7750F"/>
    <w:rPr>
      <w:rFonts w:ascii="Calibri" w:eastAsiaTheme="minorHAnsi" w:hAnsi="Calibri" w:cs="Calibri"/>
      <w:sz w:val="22"/>
      <w:szCs w:val="22"/>
      <w:lang w:eastAsia="fr-FR"/>
    </w:rPr>
  </w:style>
  <w:style w:type="paragraph" w:customStyle="1" w:styleId="xxxxxmsonormal">
    <w:name w:val="x_x_x_x_xmsonormal"/>
    <w:basedOn w:val="Normal"/>
    <w:rsid w:val="00E75C9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EA6ED0"/>
    <w:pPr>
      <w:spacing w:before="100" w:beforeAutospacing="1" w:after="100" w:afterAutospacing="1"/>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68966">
      <w:bodyDiv w:val="1"/>
      <w:marLeft w:val="0"/>
      <w:marRight w:val="0"/>
      <w:marTop w:val="0"/>
      <w:marBottom w:val="0"/>
      <w:divBdr>
        <w:top w:val="none" w:sz="0" w:space="0" w:color="auto"/>
        <w:left w:val="none" w:sz="0" w:space="0" w:color="auto"/>
        <w:bottom w:val="none" w:sz="0" w:space="0" w:color="auto"/>
        <w:right w:val="none" w:sz="0" w:space="0" w:color="auto"/>
      </w:divBdr>
    </w:div>
    <w:div w:id="53284488">
      <w:bodyDiv w:val="1"/>
      <w:marLeft w:val="0"/>
      <w:marRight w:val="0"/>
      <w:marTop w:val="0"/>
      <w:marBottom w:val="0"/>
      <w:divBdr>
        <w:top w:val="none" w:sz="0" w:space="0" w:color="auto"/>
        <w:left w:val="none" w:sz="0" w:space="0" w:color="auto"/>
        <w:bottom w:val="none" w:sz="0" w:space="0" w:color="auto"/>
        <w:right w:val="none" w:sz="0" w:space="0" w:color="auto"/>
      </w:divBdr>
    </w:div>
    <w:div w:id="56369352">
      <w:bodyDiv w:val="1"/>
      <w:marLeft w:val="0"/>
      <w:marRight w:val="0"/>
      <w:marTop w:val="0"/>
      <w:marBottom w:val="0"/>
      <w:divBdr>
        <w:top w:val="none" w:sz="0" w:space="0" w:color="auto"/>
        <w:left w:val="none" w:sz="0" w:space="0" w:color="auto"/>
        <w:bottom w:val="none" w:sz="0" w:space="0" w:color="auto"/>
        <w:right w:val="none" w:sz="0" w:space="0" w:color="auto"/>
      </w:divBdr>
    </w:div>
    <w:div w:id="61298408">
      <w:bodyDiv w:val="1"/>
      <w:marLeft w:val="0"/>
      <w:marRight w:val="0"/>
      <w:marTop w:val="0"/>
      <w:marBottom w:val="0"/>
      <w:divBdr>
        <w:top w:val="none" w:sz="0" w:space="0" w:color="auto"/>
        <w:left w:val="none" w:sz="0" w:space="0" w:color="auto"/>
        <w:bottom w:val="none" w:sz="0" w:space="0" w:color="auto"/>
        <w:right w:val="none" w:sz="0" w:space="0" w:color="auto"/>
      </w:divBdr>
    </w:div>
    <w:div w:id="101613054">
      <w:bodyDiv w:val="1"/>
      <w:marLeft w:val="0"/>
      <w:marRight w:val="0"/>
      <w:marTop w:val="0"/>
      <w:marBottom w:val="0"/>
      <w:divBdr>
        <w:top w:val="none" w:sz="0" w:space="0" w:color="auto"/>
        <w:left w:val="none" w:sz="0" w:space="0" w:color="auto"/>
        <w:bottom w:val="none" w:sz="0" w:space="0" w:color="auto"/>
        <w:right w:val="none" w:sz="0" w:space="0" w:color="auto"/>
      </w:divBdr>
    </w:div>
    <w:div w:id="209147389">
      <w:bodyDiv w:val="1"/>
      <w:marLeft w:val="0"/>
      <w:marRight w:val="0"/>
      <w:marTop w:val="0"/>
      <w:marBottom w:val="0"/>
      <w:divBdr>
        <w:top w:val="none" w:sz="0" w:space="0" w:color="auto"/>
        <w:left w:val="none" w:sz="0" w:space="0" w:color="auto"/>
        <w:bottom w:val="none" w:sz="0" w:space="0" w:color="auto"/>
        <w:right w:val="none" w:sz="0" w:space="0" w:color="auto"/>
      </w:divBdr>
    </w:div>
    <w:div w:id="239484276">
      <w:bodyDiv w:val="1"/>
      <w:marLeft w:val="0"/>
      <w:marRight w:val="0"/>
      <w:marTop w:val="0"/>
      <w:marBottom w:val="0"/>
      <w:divBdr>
        <w:top w:val="none" w:sz="0" w:space="0" w:color="auto"/>
        <w:left w:val="none" w:sz="0" w:space="0" w:color="auto"/>
        <w:bottom w:val="none" w:sz="0" w:space="0" w:color="auto"/>
        <w:right w:val="none" w:sz="0" w:space="0" w:color="auto"/>
      </w:divBdr>
    </w:div>
    <w:div w:id="428165503">
      <w:bodyDiv w:val="1"/>
      <w:marLeft w:val="0"/>
      <w:marRight w:val="0"/>
      <w:marTop w:val="0"/>
      <w:marBottom w:val="0"/>
      <w:divBdr>
        <w:top w:val="none" w:sz="0" w:space="0" w:color="auto"/>
        <w:left w:val="none" w:sz="0" w:space="0" w:color="auto"/>
        <w:bottom w:val="none" w:sz="0" w:space="0" w:color="auto"/>
        <w:right w:val="none" w:sz="0" w:space="0" w:color="auto"/>
      </w:divBdr>
    </w:div>
    <w:div w:id="446587945">
      <w:bodyDiv w:val="1"/>
      <w:marLeft w:val="0"/>
      <w:marRight w:val="0"/>
      <w:marTop w:val="0"/>
      <w:marBottom w:val="0"/>
      <w:divBdr>
        <w:top w:val="none" w:sz="0" w:space="0" w:color="auto"/>
        <w:left w:val="none" w:sz="0" w:space="0" w:color="auto"/>
        <w:bottom w:val="none" w:sz="0" w:space="0" w:color="auto"/>
        <w:right w:val="none" w:sz="0" w:space="0" w:color="auto"/>
      </w:divBdr>
    </w:div>
    <w:div w:id="521355819">
      <w:bodyDiv w:val="1"/>
      <w:marLeft w:val="0"/>
      <w:marRight w:val="0"/>
      <w:marTop w:val="0"/>
      <w:marBottom w:val="0"/>
      <w:divBdr>
        <w:top w:val="none" w:sz="0" w:space="0" w:color="auto"/>
        <w:left w:val="none" w:sz="0" w:space="0" w:color="auto"/>
        <w:bottom w:val="none" w:sz="0" w:space="0" w:color="auto"/>
        <w:right w:val="none" w:sz="0" w:space="0" w:color="auto"/>
      </w:divBdr>
    </w:div>
    <w:div w:id="534777376">
      <w:bodyDiv w:val="1"/>
      <w:marLeft w:val="0"/>
      <w:marRight w:val="0"/>
      <w:marTop w:val="0"/>
      <w:marBottom w:val="0"/>
      <w:divBdr>
        <w:top w:val="none" w:sz="0" w:space="0" w:color="auto"/>
        <w:left w:val="none" w:sz="0" w:space="0" w:color="auto"/>
        <w:bottom w:val="none" w:sz="0" w:space="0" w:color="auto"/>
        <w:right w:val="none" w:sz="0" w:space="0" w:color="auto"/>
      </w:divBdr>
    </w:div>
    <w:div w:id="569465379">
      <w:bodyDiv w:val="1"/>
      <w:marLeft w:val="0"/>
      <w:marRight w:val="0"/>
      <w:marTop w:val="0"/>
      <w:marBottom w:val="0"/>
      <w:divBdr>
        <w:top w:val="none" w:sz="0" w:space="0" w:color="auto"/>
        <w:left w:val="none" w:sz="0" w:space="0" w:color="auto"/>
        <w:bottom w:val="none" w:sz="0" w:space="0" w:color="auto"/>
        <w:right w:val="none" w:sz="0" w:space="0" w:color="auto"/>
      </w:divBdr>
    </w:div>
    <w:div w:id="654182076">
      <w:bodyDiv w:val="1"/>
      <w:marLeft w:val="0"/>
      <w:marRight w:val="0"/>
      <w:marTop w:val="0"/>
      <w:marBottom w:val="0"/>
      <w:divBdr>
        <w:top w:val="none" w:sz="0" w:space="0" w:color="auto"/>
        <w:left w:val="none" w:sz="0" w:space="0" w:color="auto"/>
        <w:bottom w:val="none" w:sz="0" w:space="0" w:color="auto"/>
        <w:right w:val="none" w:sz="0" w:space="0" w:color="auto"/>
      </w:divBdr>
    </w:div>
    <w:div w:id="706569915">
      <w:bodyDiv w:val="1"/>
      <w:marLeft w:val="0"/>
      <w:marRight w:val="0"/>
      <w:marTop w:val="0"/>
      <w:marBottom w:val="0"/>
      <w:divBdr>
        <w:top w:val="none" w:sz="0" w:space="0" w:color="auto"/>
        <w:left w:val="none" w:sz="0" w:space="0" w:color="auto"/>
        <w:bottom w:val="none" w:sz="0" w:space="0" w:color="auto"/>
        <w:right w:val="none" w:sz="0" w:space="0" w:color="auto"/>
      </w:divBdr>
    </w:div>
    <w:div w:id="760223016">
      <w:bodyDiv w:val="1"/>
      <w:marLeft w:val="0"/>
      <w:marRight w:val="0"/>
      <w:marTop w:val="0"/>
      <w:marBottom w:val="0"/>
      <w:divBdr>
        <w:top w:val="none" w:sz="0" w:space="0" w:color="auto"/>
        <w:left w:val="none" w:sz="0" w:space="0" w:color="auto"/>
        <w:bottom w:val="none" w:sz="0" w:space="0" w:color="auto"/>
        <w:right w:val="none" w:sz="0" w:space="0" w:color="auto"/>
      </w:divBdr>
    </w:div>
    <w:div w:id="765659735">
      <w:bodyDiv w:val="1"/>
      <w:marLeft w:val="0"/>
      <w:marRight w:val="0"/>
      <w:marTop w:val="0"/>
      <w:marBottom w:val="0"/>
      <w:divBdr>
        <w:top w:val="none" w:sz="0" w:space="0" w:color="auto"/>
        <w:left w:val="none" w:sz="0" w:space="0" w:color="auto"/>
        <w:bottom w:val="none" w:sz="0" w:space="0" w:color="auto"/>
        <w:right w:val="none" w:sz="0" w:space="0" w:color="auto"/>
      </w:divBdr>
    </w:div>
    <w:div w:id="1043290365">
      <w:bodyDiv w:val="1"/>
      <w:marLeft w:val="0"/>
      <w:marRight w:val="0"/>
      <w:marTop w:val="0"/>
      <w:marBottom w:val="0"/>
      <w:divBdr>
        <w:top w:val="none" w:sz="0" w:space="0" w:color="auto"/>
        <w:left w:val="none" w:sz="0" w:space="0" w:color="auto"/>
        <w:bottom w:val="none" w:sz="0" w:space="0" w:color="auto"/>
        <w:right w:val="none" w:sz="0" w:space="0" w:color="auto"/>
      </w:divBdr>
    </w:div>
    <w:div w:id="1098284977">
      <w:bodyDiv w:val="1"/>
      <w:marLeft w:val="0"/>
      <w:marRight w:val="0"/>
      <w:marTop w:val="0"/>
      <w:marBottom w:val="0"/>
      <w:divBdr>
        <w:top w:val="none" w:sz="0" w:space="0" w:color="auto"/>
        <w:left w:val="none" w:sz="0" w:space="0" w:color="auto"/>
        <w:bottom w:val="none" w:sz="0" w:space="0" w:color="auto"/>
        <w:right w:val="none" w:sz="0" w:space="0" w:color="auto"/>
      </w:divBdr>
    </w:div>
    <w:div w:id="1117987415">
      <w:bodyDiv w:val="1"/>
      <w:marLeft w:val="0"/>
      <w:marRight w:val="0"/>
      <w:marTop w:val="0"/>
      <w:marBottom w:val="0"/>
      <w:divBdr>
        <w:top w:val="none" w:sz="0" w:space="0" w:color="auto"/>
        <w:left w:val="none" w:sz="0" w:space="0" w:color="auto"/>
        <w:bottom w:val="none" w:sz="0" w:space="0" w:color="auto"/>
        <w:right w:val="none" w:sz="0" w:space="0" w:color="auto"/>
      </w:divBdr>
    </w:div>
    <w:div w:id="1143888409">
      <w:bodyDiv w:val="1"/>
      <w:marLeft w:val="0"/>
      <w:marRight w:val="0"/>
      <w:marTop w:val="0"/>
      <w:marBottom w:val="0"/>
      <w:divBdr>
        <w:top w:val="none" w:sz="0" w:space="0" w:color="auto"/>
        <w:left w:val="none" w:sz="0" w:space="0" w:color="auto"/>
        <w:bottom w:val="none" w:sz="0" w:space="0" w:color="auto"/>
        <w:right w:val="none" w:sz="0" w:space="0" w:color="auto"/>
      </w:divBdr>
    </w:div>
    <w:div w:id="1200776941">
      <w:bodyDiv w:val="1"/>
      <w:marLeft w:val="0"/>
      <w:marRight w:val="0"/>
      <w:marTop w:val="0"/>
      <w:marBottom w:val="0"/>
      <w:divBdr>
        <w:top w:val="none" w:sz="0" w:space="0" w:color="auto"/>
        <w:left w:val="none" w:sz="0" w:space="0" w:color="auto"/>
        <w:bottom w:val="none" w:sz="0" w:space="0" w:color="auto"/>
        <w:right w:val="none" w:sz="0" w:space="0" w:color="auto"/>
      </w:divBdr>
    </w:div>
    <w:div w:id="1256400765">
      <w:bodyDiv w:val="1"/>
      <w:marLeft w:val="0"/>
      <w:marRight w:val="0"/>
      <w:marTop w:val="0"/>
      <w:marBottom w:val="0"/>
      <w:divBdr>
        <w:top w:val="none" w:sz="0" w:space="0" w:color="auto"/>
        <w:left w:val="none" w:sz="0" w:space="0" w:color="auto"/>
        <w:bottom w:val="none" w:sz="0" w:space="0" w:color="auto"/>
        <w:right w:val="none" w:sz="0" w:space="0" w:color="auto"/>
      </w:divBdr>
    </w:div>
    <w:div w:id="1279533278">
      <w:bodyDiv w:val="1"/>
      <w:marLeft w:val="0"/>
      <w:marRight w:val="0"/>
      <w:marTop w:val="0"/>
      <w:marBottom w:val="0"/>
      <w:divBdr>
        <w:top w:val="none" w:sz="0" w:space="0" w:color="auto"/>
        <w:left w:val="none" w:sz="0" w:space="0" w:color="auto"/>
        <w:bottom w:val="none" w:sz="0" w:space="0" w:color="auto"/>
        <w:right w:val="none" w:sz="0" w:space="0" w:color="auto"/>
      </w:divBdr>
    </w:div>
    <w:div w:id="1332097777">
      <w:bodyDiv w:val="1"/>
      <w:marLeft w:val="0"/>
      <w:marRight w:val="0"/>
      <w:marTop w:val="0"/>
      <w:marBottom w:val="0"/>
      <w:divBdr>
        <w:top w:val="none" w:sz="0" w:space="0" w:color="auto"/>
        <w:left w:val="none" w:sz="0" w:space="0" w:color="auto"/>
        <w:bottom w:val="none" w:sz="0" w:space="0" w:color="auto"/>
        <w:right w:val="none" w:sz="0" w:space="0" w:color="auto"/>
      </w:divBdr>
    </w:div>
    <w:div w:id="1572085033">
      <w:bodyDiv w:val="1"/>
      <w:marLeft w:val="0"/>
      <w:marRight w:val="0"/>
      <w:marTop w:val="0"/>
      <w:marBottom w:val="0"/>
      <w:divBdr>
        <w:top w:val="none" w:sz="0" w:space="0" w:color="auto"/>
        <w:left w:val="none" w:sz="0" w:space="0" w:color="auto"/>
        <w:bottom w:val="none" w:sz="0" w:space="0" w:color="auto"/>
        <w:right w:val="none" w:sz="0" w:space="0" w:color="auto"/>
      </w:divBdr>
    </w:div>
    <w:div w:id="1676957686">
      <w:bodyDiv w:val="1"/>
      <w:marLeft w:val="0"/>
      <w:marRight w:val="0"/>
      <w:marTop w:val="0"/>
      <w:marBottom w:val="0"/>
      <w:divBdr>
        <w:top w:val="none" w:sz="0" w:space="0" w:color="auto"/>
        <w:left w:val="none" w:sz="0" w:space="0" w:color="auto"/>
        <w:bottom w:val="none" w:sz="0" w:space="0" w:color="auto"/>
        <w:right w:val="none" w:sz="0" w:space="0" w:color="auto"/>
      </w:divBdr>
    </w:div>
    <w:div w:id="1704745279">
      <w:bodyDiv w:val="1"/>
      <w:marLeft w:val="0"/>
      <w:marRight w:val="0"/>
      <w:marTop w:val="0"/>
      <w:marBottom w:val="0"/>
      <w:divBdr>
        <w:top w:val="none" w:sz="0" w:space="0" w:color="auto"/>
        <w:left w:val="none" w:sz="0" w:space="0" w:color="auto"/>
        <w:bottom w:val="none" w:sz="0" w:space="0" w:color="auto"/>
        <w:right w:val="none" w:sz="0" w:space="0" w:color="auto"/>
      </w:divBdr>
    </w:div>
    <w:div w:id="1707831576">
      <w:bodyDiv w:val="1"/>
      <w:marLeft w:val="0"/>
      <w:marRight w:val="0"/>
      <w:marTop w:val="0"/>
      <w:marBottom w:val="0"/>
      <w:divBdr>
        <w:top w:val="none" w:sz="0" w:space="0" w:color="auto"/>
        <w:left w:val="none" w:sz="0" w:space="0" w:color="auto"/>
        <w:bottom w:val="none" w:sz="0" w:space="0" w:color="auto"/>
        <w:right w:val="none" w:sz="0" w:space="0" w:color="auto"/>
      </w:divBdr>
    </w:div>
    <w:div w:id="1711492655">
      <w:bodyDiv w:val="1"/>
      <w:marLeft w:val="0"/>
      <w:marRight w:val="0"/>
      <w:marTop w:val="0"/>
      <w:marBottom w:val="0"/>
      <w:divBdr>
        <w:top w:val="none" w:sz="0" w:space="0" w:color="auto"/>
        <w:left w:val="none" w:sz="0" w:space="0" w:color="auto"/>
        <w:bottom w:val="none" w:sz="0" w:space="0" w:color="auto"/>
        <w:right w:val="none" w:sz="0" w:space="0" w:color="auto"/>
      </w:divBdr>
    </w:div>
    <w:div w:id="1774209274">
      <w:bodyDiv w:val="1"/>
      <w:marLeft w:val="0"/>
      <w:marRight w:val="0"/>
      <w:marTop w:val="0"/>
      <w:marBottom w:val="0"/>
      <w:divBdr>
        <w:top w:val="none" w:sz="0" w:space="0" w:color="auto"/>
        <w:left w:val="none" w:sz="0" w:space="0" w:color="auto"/>
        <w:bottom w:val="none" w:sz="0" w:space="0" w:color="auto"/>
        <w:right w:val="none" w:sz="0" w:space="0" w:color="auto"/>
      </w:divBdr>
    </w:div>
    <w:div w:id="1818497522">
      <w:bodyDiv w:val="1"/>
      <w:marLeft w:val="0"/>
      <w:marRight w:val="0"/>
      <w:marTop w:val="0"/>
      <w:marBottom w:val="0"/>
      <w:divBdr>
        <w:top w:val="none" w:sz="0" w:space="0" w:color="auto"/>
        <w:left w:val="none" w:sz="0" w:space="0" w:color="auto"/>
        <w:bottom w:val="none" w:sz="0" w:space="0" w:color="auto"/>
        <w:right w:val="none" w:sz="0" w:space="0" w:color="auto"/>
      </w:divBdr>
    </w:div>
    <w:div w:id="1863470135">
      <w:bodyDiv w:val="1"/>
      <w:marLeft w:val="0"/>
      <w:marRight w:val="0"/>
      <w:marTop w:val="0"/>
      <w:marBottom w:val="0"/>
      <w:divBdr>
        <w:top w:val="none" w:sz="0" w:space="0" w:color="auto"/>
        <w:left w:val="none" w:sz="0" w:space="0" w:color="auto"/>
        <w:bottom w:val="none" w:sz="0" w:space="0" w:color="auto"/>
        <w:right w:val="none" w:sz="0" w:space="0" w:color="auto"/>
      </w:divBdr>
    </w:div>
    <w:div w:id="20885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hudoc.exec.coe.int/FR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hudoc.exec.coe.int/eng?i=004-55613" TargetMode="External"/><Relationship Id="rId17" Type="http://schemas.openxmlformats.org/officeDocument/2006/relationships/hyperlink" Target="https://www.coe.int/en/web/commissioner/country-monitoring/malta" TargetMode="External"/><Relationship Id="rId2" Type="http://schemas.openxmlformats.org/officeDocument/2006/relationships/numbering" Target="numbering.xml"/><Relationship Id="rId16" Type="http://schemas.openxmlformats.org/officeDocument/2006/relationships/hyperlink" Target="https://rm.coe.int/fourth-evaluation-round-corruption-prevention-in-respect-of-members-of/1680ab761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e.int/en/web/execution/malta" TargetMode="External"/><Relationship Id="rId5" Type="http://schemas.openxmlformats.org/officeDocument/2006/relationships/webSettings" Target="webSettings.xml"/><Relationship Id="rId15" Type="http://schemas.openxmlformats.org/officeDocument/2006/relationships/hyperlink" Target="https://hudoc.exec.coe.int/eng?i=DH-DD(2023)798E" TargetMode="External"/><Relationship Id="rId10" Type="http://schemas.openxmlformats.org/officeDocument/2006/relationships/hyperlink" Target="mailto:christel.schurrer@coe.int"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rm.coe.int/malta-2021-data-/1680ab89c0" TargetMode="External"/><Relationship Id="rId14" Type="http://schemas.openxmlformats.org/officeDocument/2006/relationships/hyperlink" Target="https://hudoc.exec.coe.int/eng?i=004-5561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02F23-9097-4CAA-904B-A391A5FDD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540</Words>
  <Characters>2970</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10</cp:revision>
  <dcterms:created xsi:type="dcterms:W3CDTF">2023-12-26T06:40:00Z</dcterms:created>
  <dcterms:modified xsi:type="dcterms:W3CDTF">2024-01-12T06:40:00Z</dcterms:modified>
</cp:coreProperties>
</file>